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87" w:rsidRPr="00120852" w:rsidRDefault="00041484" w:rsidP="00F10A6C">
      <w:pPr>
        <w:jc w:val="center"/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 xml:space="preserve">Tecnología y vida </w:t>
      </w: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2</w:t>
      </w:r>
      <w:r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 xml:space="preserve">. </w:t>
      </w:r>
      <w:r w:rsidR="00B30C87" w:rsidRPr="00120852"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Dosificación trimest</w:t>
      </w:r>
      <w:bookmarkStart w:id="0" w:name="_GoBack"/>
      <w:bookmarkEnd w:id="0"/>
      <w:r w:rsidR="00B30C87" w:rsidRPr="00120852">
        <w:rPr>
          <w:rFonts w:ascii="Arial" w:hAnsi="Arial" w:cs="Arial"/>
          <w:b/>
          <w:bCs/>
          <w:color w:val="2ECD94"/>
          <w:sz w:val="28"/>
          <w:szCs w:val="28"/>
          <w:lang w:val="es-ES_tradnl"/>
        </w:rPr>
        <w:t>ral (190 días de clase)</w:t>
      </w: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"/>
        <w:gridCol w:w="3234"/>
        <w:gridCol w:w="1328"/>
        <w:gridCol w:w="2074"/>
        <w:gridCol w:w="1241"/>
      </w:tblGrid>
      <w:tr w:rsidR="00B30C87" w:rsidRPr="00F675AD" w:rsidTr="00917B7C">
        <w:trPr>
          <w:trHeight w:val="313"/>
        </w:trPr>
        <w:tc>
          <w:tcPr>
            <w:tcW w:w="8784" w:type="dxa"/>
            <w:gridSpan w:val="5"/>
            <w:shd w:val="clear" w:color="auto" w:fill="70AD47" w:themeFill="accent6"/>
            <w:vAlign w:val="center"/>
          </w:tcPr>
          <w:p w:rsidR="00B30C87" w:rsidRPr="00F675AD" w:rsidRDefault="00B30C87" w:rsidP="00917B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Trimestre 1</w:t>
            </w:r>
          </w:p>
        </w:tc>
      </w:tr>
      <w:tr w:rsidR="00B30C87" w:rsidTr="00917B7C">
        <w:trPr>
          <w:trHeight w:val="50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B30C87" w:rsidTr="00B30C87">
        <w:trPr>
          <w:trHeight w:val="840"/>
        </w:trPr>
        <w:tc>
          <w:tcPr>
            <w:tcW w:w="907" w:type="dxa"/>
            <w:vMerge w:val="restart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1 a 5</w:t>
            </w:r>
          </w:p>
        </w:tc>
        <w:tc>
          <w:tcPr>
            <w:tcW w:w="3234" w:type="dxa"/>
            <w:vMerge w:val="restart"/>
            <w:shd w:val="clear" w:color="auto" w:fill="E2EFD9" w:themeFill="accent6" w:themeFillTint="33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Compara las finalidades de las ciencias y de la tecnología para establecer sus diferencias.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Describe la forma en que los conocimientos técnicos y los conocimientos de las ciencias se resignifican en el desarrollo de los procesos técnicos.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Utiliza conocimientos técnicos y de las ciencias para proponer alternativas de solución a problemas técnicos, así como mejorar procesos y productos.</w:t>
            </w:r>
          </w:p>
        </w:tc>
        <w:tc>
          <w:tcPr>
            <w:tcW w:w="1328" w:type="dxa"/>
            <w:vMerge w:val="restart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294641">
              <w:rPr>
                <w:bCs/>
                <w:color w:val="000000" w:themeColor="text1"/>
                <w:sz w:val="16"/>
                <w:szCs w:val="16"/>
                <w:lang w:val="es-ES_tradnl"/>
              </w:rPr>
              <w:t xml:space="preserve">Tema 1. </w:t>
            </w:r>
          </w:p>
          <w:p w:rsidR="00B30C87" w:rsidRPr="00294641" w:rsidRDefault="00B30C87" w:rsidP="00917B7C">
            <w:pPr>
              <w:pStyle w:val="Texto"/>
              <w:spacing w:before="40" w:after="40" w:line="240" w:lineRule="auto"/>
              <w:ind w:left="42" w:firstLine="0"/>
              <w:jc w:val="left"/>
              <w:rPr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bCs/>
                <w:color w:val="000000" w:themeColor="text1"/>
                <w:sz w:val="16"/>
                <w:szCs w:val="16"/>
                <w:lang w:val="es-ES_tradnl"/>
              </w:rPr>
              <w:t>Tecnología y su relación con otras áreas del conocimiento</w:t>
            </w: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La tecnología como área de conocimiento y la técnica como práctica social</w:t>
            </w:r>
          </w:p>
        </w:tc>
        <w:tc>
          <w:tcPr>
            <w:tcW w:w="1241" w:type="dxa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10 a 21</w:t>
            </w:r>
          </w:p>
        </w:tc>
      </w:tr>
      <w:tr w:rsidR="00B30C87" w:rsidTr="00B30C87">
        <w:trPr>
          <w:trHeight w:val="1205"/>
        </w:trPr>
        <w:tc>
          <w:tcPr>
            <w:tcW w:w="907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1.2. Relación de la tecnología con las ciencias naturales y sociales: la </w:t>
            </w:r>
            <w:proofErr w:type="spellStart"/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resignificación</w:t>
            </w:r>
            <w:proofErr w:type="spellEnd"/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y uso de los conocimientos</w:t>
            </w:r>
          </w:p>
        </w:tc>
        <w:tc>
          <w:tcPr>
            <w:tcW w:w="1241" w:type="dxa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22 a 27</w:t>
            </w:r>
          </w:p>
        </w:tc>
      </w:tr>
      <w:tr w:rsidR="00B30C87" w:rsidTr="00B30C87">
        <w:trPr>
          <w:trHeight w:val="809"/>
        </w:trPr>
        <w:tc>
          <w:tcPr>
            <w:tcW w:w="907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Desarrollo tecnológico, integración tecnología-ciencia</w:t>
            </w:r>
          </w:p>
        </w:tc>
        <w:tc>
          <w:tcPr>
            <w:tcW w:w="1241" w:type="dxa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28 a 31</w:t>
            </w:r>
          </w:p>
        </w:tc>
      </w:tr>
      <w:tr w:rsidR="00B30C87" w:rsidTr="00B30C87">
        <w:trPr>
          <w:trHeight w:val="1334"/>
        </w:trPr>
        <w:tc>
          <w:tcPr>
            <w:tcW w:w="907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E2EFD9" w:themeFill="accent6" w:themeFillTint="33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9B9C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1.4. El uso y </w:t>
            </w:r>
            <w:proofErr w:type="spellStart"/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resignificación</w:t>
            </w:r>
            <w:proofErr w:type="spellEnd"/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de conocimientos para la resolución de problemas en los procesos productivos</w:t>
            </w:r>
          </w:p>
        </w:tc>
        <w:tc>
          <w:tcPr>
            <w:tcW w:w="1241" w:type="dxa"/>
            <w:shd w:val="clear" w:color="auto" w:fill="E2EFD9" w:themeFill="accent6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32 a 35</w:t>
            </w:r>
          </w:p>
        </w:tc>
      </w:tr>
      <w:tr w:rsidR="00B30C87" w:rsidTr="00B30C87">
        <w:trPr>
          <w:trHeight w:val="665"/>
        </w:trPr>
        <w:tc>
          <w:tcPr>
            <w:tcW w:w="907" w:type="dxa"/>
            <w:vMerge w:val="restart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6 a 12</w:t>
            </w:r>
          </w:p>
        </w:tc>
        <w:tc>
          <w:tcPr>
            <w:tcW w:w="3234" w:type="dxa"/>
            <w:vMerge w:val="restart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Emplea de manera articulada diferentes clases de técnicas para mejorar procesos y crear productos técnicos.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Reconoce las implicaciones de la técnica en las formas de vida.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Examina las posibilidades y limitaciones de las técnicas para la satisfacción de necesidades según su contexto.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Construye escenarios deseables como alternativas de mejora técnica.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Propone y modela alternativas de solución a posibles necesidades futuras.</w:t>
            </w:r>
          </w:p>
        </w:tc>
        <w:tc>
          <w:tcPr>
            <w:tcW w:w="1328" w:type="dxa"/>
            <w:vMerge w:val="restart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Tema 2. </w:t>
            </w:r>
          </w:p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Cambio técnico y cambio social</w:t>
            </w: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La influencia de la sociedad en el desarrollo técnico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36 a 40</w:t>
            </w:r>
          </w:p>
        </w:tc>
      </w:tr>
      <w:tr w:rsidR="00B30C87" w:rsidTr="00B30C87">
        <w:trPr>
          <w:trHeight w:val="1071"/>
        </w:trPr>
        <w:tc>
          <w:tcPr>
            <w:tcW w:w="907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2.2. Cambios técnicos, articulación de técnicas y su influencia en los procesos técnicos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41 a 44</w:t>
            </w:r>
          </w:p>
        </w:tc>
      </w:tr>
      <w:tr w:rsidR="00B30C87" w:rsidRPr="007C7C40" w:rsidTr="00B30C87">
        <w:trPr>
          <w:trHeight w:val="503"/>
        </w:trPr>
        <w:tc>
          <w:tcPr>
            <w:tcW w:w="907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2.3. Las implicaciones de la técnica en la cultura y la sociedad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44 a 49</w:t>
            </w:r>
          </w:p>
        </w:tc>
      </w:tr>
      <w:tr w:rsidR="00B30C87" w:rsidRPr="007C7C40" w:rsidTr="00B30C87">
        <w:trPr>
          <w:trHeight w:val="503"/>
        </w:trPr>
        <w:tc>
          <w:tcPr>
            <w:tcW w:w="907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2.4. Los límites y las posibilidades de los sistemas técnicos para el desarrollo social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50 a 57</w:t>
            </w:r>
          </w:p>
        </w:tc>
      </w:tr>
      <w:tr w:rsidR="00B30C87" w:rsidRPr="007C7C40" w:rsidTr="00B30C87">
        <w:trPr>
          <w:trHeight w:val="503"/>
        </w:trPr>
        <w:tc>
          <w:tcPr>
            <w:tcW w:w="907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9B9C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2.5. La sociedad tecnológica actual y del futuro, visiones de la sociedad tecnológica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57 a 59</w:t>
            </w:r>
          </w:p>
        </w:tc>
      </w:tr>
      <w:tr w:rsidR="00B30C87" w:rsidRPr="007C7C40" w:rsidTr="00B30C87">
        <w:trPr>
          <w:trHeight w:val="1288"/>
        </w:trPr>
        <w:tc>
          <w:tcPr>
            <w:tcW w:w="907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234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74" w:type="dxa"/>
            <w:shd w:val="clear" w:color="auto" w:fill="C5E0B3" w:themeFill="accent6" w:themeFillTint="66"/>
            <w:vAlign w:val="center"/>
          </w:tcPr>
          <w:p w:rsidR="00B30C87" w:rsidRPr="00294641" w:rsidRDefault="00B30C87" w:rsidP="00B30C87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9B9C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2.6. El cambio técnico en la resolución de problemas y el trabajo por proyectos en los procesos productivos</w:t>
            </w:r>
          </w:p>
        </w:tc>
        <w:tc>
          <w:tcPr>
            <w:tcW w:w="1241" w:type="dxa"/>
            <w:shd w:val="clear" w:color="auto" w:fill="C5E0B3" w:themeFill="accent6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59 y 60</w:t>
            </w:r>
          </w:p>
        </w:tc>
      </w:tr>
      <w:tr w:rsidR="00B30C87" w:rsidRPr="005E2A39" w:rsidTr="00917B7C">
        <w:trPr>
          <w:trHeight w:val="226"/>
        </w:trPr>
        <w:tc>
          <w:tcPr>
            <w:tcW w:w="907" w:type="dxa"/>
            <w:vMerge w:val="restart"/>
            <w:shd w:val="clear" w:color="auto" w:fill="D9D9D9" w:themeFill="background1" w:themeFillShade="D9"/>
            <w:vAlign w:val="center"/>
          </w:tcPr>
          <w:p w:rsidR="00B30C87" w:rsidRPr="00ED623D" w:rsidRDefault="00B30C87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6636" w:type="dxa"/>
            <w:gridSpan w:val="3"/>
            <w:shd w:val="clear" w:color="auto" w:fill="D9D9D9" w:themeFill="background1" w:themeFillShade="D9"/>
            <w:vAlign w:val="center"/>
          </w:tcPr>
          <w:p w:rsidR="00B30C87" w:rsidRPr="00ED623D" w:rsidRDefault="00B30C87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color w:val="000000" w:themeColor="text1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30C87" w:rsidRPr="005E2A39" w:rsidRDefault="00B30C87" w:rsidP="00917B7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61 a 63</w:t>
            </w:r>
          </w:p>
        </w:tc>
      </w:tr>
      <w:tr w:rsidR="00B30C87" w:rsidRPr="00ED623D" w:rsidTr="00917B7C">
        <w:trPr>
          <w:trHeight w:val="216"/>
        </w:trPr>
        <w:tc>
          <w:tcPr>
            <w:tcW w:w="907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ED623D" w:rsidRDefault="00B30C87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63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ED623D" w:rsidRDefault="00B30C87" w:rsidP="00917B7C">
            <w:pPr>
              <w:pStyle w:val="Texto"/>
              <w:spacing w:before="40" w:after="40"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ED623D">
              <w:rPr>
                <w:bCs/>
                <w:sz w:val="16"/>
                <w:szCs w:val="16"/>
                <w:lang w:val="es-ES_tradnl"/>
              </w:rPr>
              <w:t>¿Qué aprendí en este trimestre?</w:t>
            </w:r>
          </w:p>
        </w:tc>
        <w:tc>
          <w:tcPr>
            <w:tcW w:w="124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ED623D" w:rsidRDefault="00B30C87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D623D">
              <w:rPr>
                <w:rFonts w:ascii="Arial" w:hAnsi="Arial" w:cs="Arial"/>
                <w:bCs/>
                <w:sz w:val="16"/>
                <w:szCs w:val="16"/>
              </w:rPr>
              <w:t>64 y 65</w:t>
            </w:r>
          </w:p>
        </w:tc>
      </w:tr>
      <w:tr w:rsidR="00B30C87" w:rsidRPr="00ED623D" w:rsidTr="00917B7C">
        <w:trPr>
          <w:trHeight w:val="216"/>
        </w:trPr>
        <w:tc>
          <w:tcPr>
            <w:tcW w:w="878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0C87" w:rsidRPr="00ED623D" w:rsidRDefault="00B30C87" w:rsidP="00917B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0C87" w:rsidRPr="00ED623D" w:rsidTr="00917B7C">
        <w:trPr>
          <w:trHeight w:val="325"/>
        </w:trPr>
        <w:tc>
          <w:tcPr>
            <w:tcW w:w="8784" w:type="dxa"/>
            <w:gridSpan w:val="5"/>
            <w:shd w:val="clear" w:color="auto" w:fill="FFC000" w:themeFill="accent4"/>
            <w:vAlign w:val="center"/>
          </w:tcPr>
          <w:p w:rsidR="00B30C87" w:rsidRPr="008D67C7" w:rsidRDefault="00B30C87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Trimestre 2</w:t>
            </w:r>
          </w:p>
        </w:tc>
      </w:tr>
      <w:tr w:rsidR="00B30C87" w:rsidRPr="00F675AD" w:rsidTr="00917B7C">
        <w:trPr>
          <w:trHeight w:val="503"/>
        </w:trPr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3234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B30C87" w:rsidRPr="00F675AD" w:rsidTr="00B30C87">
        <w:trPr>
          <w:trHeight w:val="1403"/>
        </w:trPr>
        <w:tc>
          <w:tcPr>
            <w:tcW w:w="907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14 a 19</w:t>
            </w:r>
          </w:p>
        </w:tc>
        <w:tc>
          <w:tcPr>
            <w:tcW w:w="3234" w:type="dxa"/>
            <w:shd w:val="clear" w:color="auto" w:fill="FFF2CC" w:themeFill="accent4" w:themeFillTint="33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 xml:space="preserve">Identifica las posibles modificaciones en el entorno causadas por la operación de los sistemas técnicos. </w:t>
            </w:r>
          </w:p>
        </w:tc>
        <w:tc>
          <w:tcPr>
            <w:tcW w:w="1328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Tema 1.</w:t>
            </w:r>
          </w:p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La técnica y sus implicaciones en la Naturaleza</w:t>
            </w:r>
          </w:p>
        </w:tc>
        <w:tc>
          <w:tcPr>
            <w:tcW w:w="2074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autoSpaceDE w:val="0"/>
              <w:autoSpaceDN w:val="0"/>
              <w:adjustRightInd w:val="0"/>
              <w:ind w:left="310" w:hanging="310"/>
              <w:rPr>
                <w:rFonts w:ascii="Times New Roman" w:hAnsi="Times New Roman" w:cs="Times New Roman"/>
                <w:color w:val="009B9C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Las implicaciones locales, regionales y globales en la Naturaleza debido a la operación de sistemas técnicos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sz w:val="16"/>
                <w:szCs w:val="16"/>
              </w:rPr>
            </w:pPr>
            <w:r w:rsidRPr="00294641">
              <w:rPr>
                <w:rFonts w:ascii="Arial" w:hAnsi="Arial" w:cs="Arial"/>
                <w:bCs/>
                <w:sz w:val="16"/>
                <w:szCs w:val="16"/>
              </w:rPr>
              <w:t>68 a 73</w:t>
            </w:r>
          </w:p>
        </w:tc>
      </w:tr>
    </w:tbl>
    <w:p w:rsidR="00B30C87" w:rsidRDefault="00B30C87" w:rsidP="00B30C87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p w:rsidR="00B30C87" w:rsidRDefault="00B30C87" w:rsidP="00B30C87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p w:rsidR="00B30C87" w:rsidRDefault="00B30C87" w:rsidP="00B30C87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tbl>
      <w:tblPr>
        <w:tblStyle w:val="Tablaconcuadrcula"/>
        <w:tblW w:w="87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2935"/>
        <w:gridCol w:w="1328"/>
        <w:gridCol w:w="2257"/>
        <w:gridCol w:w="1276"/>
      </w:tblGrid>
      <w:tr w:rsidR="00B30C87" w:rsidRPr="008D67C7" w:rsidTr="00917B7C">
        <w:trPr>
          <w:trHeight w:val="325"/>
        </w:trPr>
        <w:tc>
          <w:tcPr>
            <w:tcW w:w="8784" w:type="dxa"/>
            <w:gridSpan w:val="5"/>
            <w:shd w:val="clear" w:color="auto" w:fill="FFC000" w:themeFill="accent4"/>
            <w:vAlign w:val="center"/>
          </w:tcPr>
          <w:p w:rsidR="00B30C87" w:rsidRPr="008D67C7" w:rsidRDefault="00B30C87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Trimestre 2 </w:t>
            </w:r>
            <w:r w:rsidRPr="00E15366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  <w:t>(Continuación)</w:t>
            </w:r>
          </w:p>
        </w:tc>
      </w:tr>
      <w:tr w:rsidR="00B30C87" w:rsidRPr="00F675AD" w:rsidTr="00917B7C">
        <w:trPr>
          <w:trHeight w:val="50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14 a 19</w:t>
            </w:r>
          </w:p>
        </w:tc>
        <w:tc>
          <w:tcPr>
            <w:tcW w:w="2935" w:type="dxa"/>
            <w:vMerge w:val="restart"/>
            <w:shd w:val="clear" w:color="auto" w:fill="FFF2CC" w:themeFill="accent4" w:themeFillTint="33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Identifica las posibles modificaciones en el entorno causadas por la operación de los sistemas técnicos.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 xml:space="preserve">Aplica el principio precautorio en sus propuestas de solución a problemas técnicos para prever posibles modificaciones no deseadas en la </w:t>
            </w:r>
            <w:r w:rsidR="002274CC" w:rsidRPr="00294641">
              <w:rPr>
                <w:sz w:val="16"/>
                <w:szCs w:val="16"/>
              </w:rPr>
              <w:t>N</w:t>
            </w:r>
            <w:r w:rsidRPr="00294641">
              <w:rPr>
                <w:sz w:val="16"/>
                <w:szCs w:val="16"/>
              </w:rPr>
              <w:t>aturaleza.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 xml:space="preserve">Recaba y organiza información sobre los problemas generados en la </w:t>
            </w:r>
            <w:r w:rsidR="002274CC" w:rsidRPr="00294641">
              <w:rPr>
                <w:sz w:val="16"/>
                <w:szCs w:val="16"/>
              </w:rPr>
              <w:t>N</w:t>
            </w:r>
            <w:r w:rsidRPr="00294641">
              <w:rPr>
                <w:sz w:val="16"/>
                <w:szCs w:val="16"/>
              </w:rPr>
              <w:t>aturaleza por el uso de productos técnicos.</w:t>
            </w:r>
          </w:p>
        </w:tc>
        <w:tc>
          <w:tcPr>
            <w:tcW w:w="1328" w:type="dxa"/>
            <w:vMerge w:val="restart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Tema 1.</w:t>
            </w:r>
          </w:p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La técnica y sus implicaciones en la Naturaleza</w:t>
            </w:r>
          </w:p>
        </w:tc>
        <w:tc>
          <w:tcPr>
            <w:tcW w:w="2257" w:type="dxa"/>
            <w:shd w:val="clear" w:color="auto" w:fill="FFF2CC" w:themeFill="accent4" w:themeFillTint="33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 Las alteraciones producidas en los ecosistemas debido a la operación de los sistemas técnicos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74 a 80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F2CC" w:themeFill="accent4" w:themeFillTint="33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El papel de la técnica en la conservación y el cuidado de la Naturaleza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80 a 85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F2CC" w:themeFill="accent4" w:themeFillTint="33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1.4. La técnica, la sociedad del riesgo y el principio precautorio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86 a 92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F2CC" w:themeFill="accent4" w:themeFillTint="33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1.5. El principio precautorio en la resolución de problemas y el trabajo por proyectos de los procesos productivos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93 a 95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 w:val="restart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20 a 24</w:t>
            </w:r>
          </w:p>
        </w:tc>
        <w:tc>
          <w:tcPr>
            <w:tcW w:w="2935" w:type="dxa"/>
            <w:vMerge w:val="restart"/>
            <w:shd w:val="clear" w:color="auto" w:fill="FFE599" w:themeFill="accent4" w:themeFillTint="66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Planifica y organiza las acciones técnicas según las necesidades y oportunidades indicadas en el diagnóstico.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Usa diferentes técnicas de planeación y organización para la ejecución de los procesos técnicos.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Aplica las recomendaciones y normas para el uso de materiales, herramientas e instalaciones, con el fin de prever situaciones de riesgo en la operación de los procesos técnicos.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Planea y organiza acciones, medios técnicos e insumos para el desarrollo de procesos técnicos.</w:t>
            </w:r>
          </w:p>
        </w:tc>
        <w:tc>
          <w:tcPr>
            <w:tcW w:w="1328" w:type="dxa"/>
            <w:vMerge w:val="restart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Tema 2.</w:t>
            </w:r>
          </w:p>
          <w:p w:rsidR="00B30C87" w:rsidRPr="00294641" w:rsidRDefault="00B30C87" w:rsidP="00917B7C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Planeación y organización técnica</w:t>
            </w:r>
          </w:p>
        </w:tc>
        <w:tc>
          <w:tcPr>
            <w:tcW w:w="2257" w:type="dxa"/>
            <w:shd w:val="clear" w:color="auto" w:fill="FFE599" w:themeFill="accent4" w:themeFillTint="66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La gestión en los sistemas técnicos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96 a 113</w:t>
            </w:r>
          </w:p>
        </w:tc>
      </w:tr>
      <w:tr w:rsidR="00B30C87" w:rsidRPr="00F675AD" w:rsidTr="002274CC">
        <w:trPr>
          <w:trHeight w:val="809"/>
        </w:trPr>
        <w:tc>
          <w:tcPr>
            <w:tcW w:w="98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E599" w:themeFill="accent4" w:themeFillTint="66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2.2. La planeación y la organización de los procesos técnicos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113 a 123</w:t>
            </w:r>
          </w:p>
        </w:tc>
      </w:tr>
      <w:tr w:rsidR="00B30C87" w:rsidRPr="00F675AD" w:rsidTr="002274CC">
        <w:trPr>
          <w:trHeight w:val="803"/>
        </w:trPr>
        <w:tc>
          <w:tcPr>
            <w:tcW w:w="98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E599" w:themeFill="accent4" w:themeFillTint="66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2.3. La normatividad y la seguridad e higiene en los procesos técnicos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123 a 125</w:t>
            </w:r>
          </w:p>
        </w:tc>
      </w:tr>
      <w:tr w:rsidR="00B30C87" w:rsidRPr="00F675AD" w:rsidTr="002274CC">
        <w:trPr>
          <w:trHeight w:val="503"/>
        </w:trPr>
        <w:tc>
          <w:tcPr>
            <w:tcW w:w="98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FE599" w:themeFill="accent4" w:themeFillTint="66"/>
            <w:vAlign w:val="center"/>
          </w:tcPr>
          <w:p w:rsidR="00B30C87" w:rsidRPr="00294641" w:rsidRDefault="00B30C87" w:rsidP="002274C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2.4. La planeación y la gestión en la resolución de problemas técnicos y el trabajo por proyectos en los procesos productivos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125 y 126</w:t>
            </w:r>
          </w:p>
        </w:tc>
      </w:tr>
      <w:tr w:rsidR="00B30C87" w:rsidRPr="00F675AD" w:rsidTr="00917B7C">
        <w:trPr>
          <w:trHeight w:val="202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  <w:r w:rsidRPr="00294641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  <w:r w:rsidRPr="00294641">
              <w:rPr>
                <w:bCs/>
                <w:sz w:val="16"/>
                <w:szCs w:val="16"/>
              </w:rPr>
              <w:t>Evaluación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127 a 129</w:t>
            </w:r>
          </w:p>
        </w:tc>
      </w:tr>
      <w:tr w:rsidR="00B30C87" w:rsidRPr="00F675AD" w:rsidTr="00917B7C">
        <w:trPr>
          <w:trHeight w:val="220"/>
        </w:trPr>
        <w:tc>
          <w:tcPr>
            <w:tcW w:w="988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bCs/>
                <w:sz w:val="16"/>
                <w:szCs w:val="16"/>
              </w:rPr>
            </w:pPr>
            <w:r w:rsidRPr="00294641">
              <w:rPr>
                <w:bCs/>
                <w:sz w:val="16"/>
                <w:szCs w:val="16"/>
              </w:rPr>
              <w:t>¿Qué aprendí en este trimestre?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130 y 131</w:t>
            </w:r>
          </w:p>
        </w:tc>
      </w:tr>
      <w:tr w:rsidR="00B30C87" w:rsidRPr="00F675AD" w:rsidTr="00917B7C">
        <w:trPr>
          <w:trHeight w:val="220"/>
        </w:trPr>
        <w:tc>
          <w:tcPr>
            <w:tcW w:w="878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30C87" w:rsidRPr="00F675AD" w:rsidRDefault="00B30C87" w:rsidP="00917B7C">
            <w:pPr>
              <w:spacing w:line="17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30C87" w:rsidRPr="00F675AD" w:rsidTr="00917B7C">
        <w:trPr>
          <w:trHeight w:val="369"/>
        </w:trPr>
        <w:tc>
          <w:tcPr>
            <w:tcW w:w="8784" w:type="dxa"/>
            <w:gridSpan w:val="5"/>
            <w:shd w:val="clear" w:color="auto" w:fill="ED7D31" w:themeFill="accent2"/>
            <w:vAlign w:val="center"/>
          </w:tcPr>
          <w:p w:rsidR="00B30C87" w:rsidRDefault="00B30C87" w:rsidP="00917B7C">
            <w:pPr>
              <w:pStyle w:val="Prrafodelista"/>
              <w:autoSpaceDE w:val="0"/>
              <w:autoSpaceDN w:val="0"/>
              <w:adjustRightInd w:val="0"/>
              <w:ind w:left="-56" w:firstLine="5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195AA7">
              <w:rPr>
                <w:rFonts w:ascii="Arial" w:hAnsi="Arial" w:cs="Arial"/>
                <w:b/>
                <w:color w:val="000000"/>
                <w:sz w:val="18"/>
                <w:szCs w:val="18"/>
                <w:lang w:val="es-ES_tradnl"/>
              </w:rPr>
              <w:t>Trimestre 3</w:t>
            </w:r>
          </w:p>
        </w:tc>
      </w:tr>
      <w:tr w:rsidR="00B30C87" w:rsidRPr="00F675AD" w:rsidTr="00917B7C">
        <w:trPr>
          <w:trHeight w:val="50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Semana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Aprendizajes esperados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Subtema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Páginas del libro del alumno</w:t>
            </w:r>
          </w:p>
        </w:tc>
      </w:tr>
      <w:tr w:rsidR="00B30C87" w:rsidRPr="00F675AD" w:rsidTr="00917B7C">
        <w:trPr>
          <w:trHeight w:val="1043"/>
        </w:trPr>
        <w:tc>
          <w:tcPr>
            <w:tcW w:w="988" w:type="dxa"/>
            <w:vMerge w:val="restart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26 a 30</w:t>
            </w:r>
          </w:p>
        </w:tc>
        <w:tc>
          <w:tcPr>
            <w:tcW w:w="2935" w:type="dxa"/>
            <w:vMerge w:val="restart"/>
            <w:shd w:val="clear" w:color="auto" w:fill="FBE4D5" w:themeFill="accent2" w:themeFillTint="33"/>
            <w:vAlign w:val="center"/>
          </w:tcPr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Identifica y describe las fases de un proyecto de producción industrial.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Toma en cuenta la ergonomía y la estética en el diseño de proyectos.</w:t>
            </w:r>
          </w:p>
          <w:p w:rsidR="00B30C87" w:rsidRPr="00294641" w:rsidRDefault="00B30C87" w:rsidP="00B30C87">
            <w:pPr>
              <w:pStyle w:val="Texto"/>
              <w:numPr>
                <w:ilvl w:val="0"/>
                <w:numId w:val="5"/>
              </w:numPr>
              <w:spacing w:before="40" w:after="40" w:line="240" w:lineRule="auto"/>
              <w:ind w:left="213" w:hanging="213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Evalúa el proyecto de producción industrial para proponer mejoras.</w:t>
            </w:r>
          </w:p>
        </w:tc>
        <w:tc>
          <w:tcPr>
            <w:tcW w:w="1328" w:type="dxa"/>
            <w:vMerge w:val="restart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Tema 1. Características del proyecto de diseño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1.1. Los procesos fabriles y la delegación de funciones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134 a 143</w:t>
            </w:r>
          </w:p>
        </w:tc>
      </w:tr>
      <w:tr w:rsidR="00B30C87" w:rsidRPr="00F675AD" w:rsidTr="00917B7C">
        <w:trPr>
          <w:trHeight w:val="831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1.2. Diseño, ergonomía y estética en el desarrollo de proyectos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143 a 148</w:t>
            </w:r>
          </w:p>
        </w:tc>
      </w:tr>
      <w:tr w:rsidR="00B30C87" w:rsidRPr="00F675AD" w:rsidTr="00917B7C">
        <w:trPr>
          <w:trHeight w:val="839"/>
        </w:trPr>
        <w:tc>
          <w:tcPr>
            <w:tcW w:w="988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935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1.3. El diseño y cambio técnico: criterios de diseño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148 y 149</w:t>
            </w:r>
          </w:p>
        </w:tc>
      </w:tr>
      <w:tr w:rsidR="00B30C87" w:rsidRPr="00F675AD" w:rsidTr="00917B7C">
        <w:trPr>
          <w:trHeight w:val="855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31 a 35</w:t>
            </w:r>
          </w:p>
        </w:tc>
        <w:tc>
          <w:tcPr>
            <w:tcW w:w="2935" w:type="dxa"/>
            <w:vMerge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sz w:val="16"/>
                <w:szCs w:val="16"/>
                <w:lang w:val="es-ES_tradnl"/>
              </w:rPr>
              <w:t>Tema 2. Proyecto de diseño</w:t>
            </w:r>
          </w:p>
        </w:tc>
        <w:tc>
          <w:tcPr>
            <w:tcW w:w="2257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autoSpaceDE w:val="0"/>
              <w:autoSpaceDN w:val="0"/>
              <w:adjustRightInd w:val="0"/>
              <w:ind w:left="310" w:hanging="31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294641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2.1. El diseño en los procesos técnicos y el proyecto de diseño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150 a 157</w:t>
            </w:r>
          </w:p>
        </w:tc>
      </w:tr>
      <w:tr w:rsidR="00B30C87" w:rsidRPr="00F675AD" w:rsidTr="00917B7C">
        <w:trPr>
          <w:cantSplit/>
          <w:trHeight w:val="79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Evaluación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</w:tr>
      <w:tr w:rsidR="00B30C87" w:rsidRPr="00F675AD" w:rsidTr="00917B7C">
        <w:trPr>
          <w:cantSplit/>
          <w:trHeight w:val="247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pStyle w:val="Texto"/>
              <w:spacing w:before="40" w:after="40" w:line="170" w:lineRule="exact"/>
              <w:ind w:firstLine="0"/>
              <w:jc w:val="left"/>
              <w:rPr>
                <w:sz w:val="16"/>
                <w:szCs w:val="16"/>
              </w:rPr>
            </w:pPr>
            <w:r w:rsidRPr="00294641">
              <w:rPr>
                <w:sz w:val="16"/>
                <w:szCs w:val="16"/>
              </w:rPr>
              <w:t>¿Qué aprendí en este trimestre?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0C87" w:rsidRPr="00294641" w:rsidRDefault="00B30C87" w:rsidP="00917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64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</w:tbl>
    <w:p w:rsidR="00B30C87" w:rsidRDefault="00B30C87" w:rsidP="00B30C87"/>
    <w:p w:rsidR="00B30C87" w:rsidRDefault="00B30C87" w:rsidP="00411C1D">
      <w:pPr>
        <w:rPr>
          <w:rFonts w:ascii="Arial" w:hAnsi="Arial" w:cs="Arial"/>
          <w:color w:val="2ECD94"/>
          <w:sz w:val="20"/>
          <w:szCs w:val="20"/>
          <w:lang w:val="es-ES_tradnl"/>
        </w:rPr>
      </w:pPr>
    </w:p>
    <w:sectPr w:rsidR="00B30C87" w:rsidSect="00411C1D">
      <w:headerReference w:type="default" r:id="rId7"/>
      <w:footerReference w:type="default" r:id="rId8"/>
      <w:pgSz w:w="11900" w:h="16840"/>
      <w:pgMar w:top="1417" w:right="1701" w:bottom="9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DE" w:rsidRDefault="008450DE" w:rsidP="00AD443F">
      <w:r>
        <w:separator/>
      </w:r>
    </w:p>
  </w:endnote>
  <w:endnote w:type="continuationSeparator" w:id="0">
    <w:p w:rsidR="008450DE" w:rsidRDefault="008450DE" w:rsidP="00AD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ro Threes">
    <w:altName w:val="Zero Three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Default="00AD443F">
    <w:pPr>
      <w:pStyle w:val="Piedepgina"/>
    </w:pPr>
    <w:r>
      <w:rPr>
        <w:rFonts w:ascii="Arial" w:hAnsi="Arial" w:cs="Arial"/>
        <w:sz w:val="18"/>
        <w:szCs w:val="18"/>
      </w:rPr>
      <w:t>Nuevo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DE" w:rsidRDefault="008450DE" w:rsidP="00AD443F">
      <w:r>
        <w:separator/>
      </w:r>
    </w:p>
  </w:footnote>
  <w:footnote w:type="continuationSeparator" w:id="0">
    <w:p w:rsidR="008450DE" w:rsidRDefault="008450DE" w:rsidP="00AD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3F" w:rsidRPr="00AD443F" w:rsidRDefault="00AD443F" w:rsidP="00AD443F">
    <w:pPr>
      <w:pStyle w:val="Encabezado"/>
      <w:rPr>
        <w:rFonts w:ascii="Arial" w:hAnsi="Arial" w:cs="Arial"/>
        <w:sz w:val="18"/>
        <w:szCs w:val="18"/>
      </w:rPr>
    </w:pPr>
    <w:r w:rsidRPr="00AD443F">
      <w:rPr>
        <w:rFonts w:ascii="Arial" w:hAnsi="Arial" w:cs="Arial"/>
        <w:sz w:val="18"/>
        <w:szCs w:val="18"/>
      </w:rPr>
      <w:t xml:space="preserve">Tecnología y vida </w:t>
    </w:r>
    <w:r w:rsidR="00B30C87">
      <w:rPr>
        <w:rFonts w:ascii="Arial" w:hAnsi="Arial" w:cs="Arial"/>
        <w:sz w:val="18"/>
        <w:szCs w:val="18"/>
      </w:rPr>
      <w:t>2</w:t>
    </w:r>
    <w:r w:rsidRPr="00AD443F">
      <w:rPr>
        <w:rFonts w:ascii="Arial" w:hAnsi="Arial" w:cs="Arial"/>
        <w:sz w:val="18"/>
        <w:szCs w:val="18"/>
      </w:rPr>
      <w:tab/>
    </w:r>
    <w:r w:rsidRPr="00AD443F">
      <w:rPr>
        <w:rFonts w:ascii="Arial" w:hAnsi="Arial" w:cs="Arial"/>
        <w:sz w:val="18"/>
        <w:szCs w:val="18"/>
      </w:rPr>
      <w:tab/>
      <w:t>Secundaria</w:t>
    </w:r>
  </w:p>
  <w:p w:rsidR="00AD443F" w:rsidRPr="00AD443F" w:rsidRDefault="00B30C87" w:rsidP="00AD443F">
    <w:pPr>
      <w:pStyle w:val="Encabezad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Segundo</w:t>
    </w:r>
    <w:r w:rsidR="00AD443F" w:rsidRPr="00AD443F">
      <w:rPr>
        <w:rFonts w:ascii="Arial" w:hAnsi="Arial" w:cs="Arial"/>
        <w:sz w:val="18"/>
        <w:szCs w:val="18"/>
      </w:rPr>
      <w:t xml:space="preserve"> grado</w:t>
    </w:r>
    <w:r w:rsidR="00AD443F" w:rsidRPr="00AD443F">
      <w:rPr>
        <w:rFonts w:ascii="Arial" w:hAnsi="Arial" w:cs="Arial"/>
        <w:sz w:val="18"/>
        <w:szCs w:val="18"/>
      </w:rPr>
      <w:tab/>
    </w:r>
    <w:r w:rsidR="00AD443F" w:rsidRPr="00AD443F">
      <w:rPr>
        <w:rFonts w:ascii="Arial" w:hAnsi="Arial" w:cs="Arial"/>
        <w:sz w:val="18"/>
        <w:szCs w:val="18"/>
      </w:rPr>
      <w:tab/>
      <w:t>Dosificación trimestral</w:t>
    </w:r>
  </w:p>
  <w:p w:rsidR="00AD443F" w:rsidRDefault="00AD44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E4C"/>
    <w:multiLevelType w:val="hybridMultilevel"/>
    <w:tmpl w:val="3F669D96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408"/>
    <w:multiLevelType w:val="hybridMultilevel"/>
    <w:tmpl w:val="A3E87334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D23"/>
    <w:multiLevelType w:val="hybridMultilevel"/>
    <w:tmpl w:val="88D851A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67E5"/>
    <w:multiLevelType w:val="hybridMultilevel"/>
    <w:tmpl w:val="03D8EC38"/>
    <w:lvl w:ilvl="0" w:tplc="F0D0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39AC"/>
    <w:multiLevelType w:val="hybridMultilevel"/>
    <w:tmpl w:val="64F2FE16"/>
    <w:lvl w:ilvl="0" w:tplc="F0D0FC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F"/>
    <w:rsid w:val="00041484"/>
    <w:rsid w:val="00090AC5"/>
    <w:rsid w:val="002274CC"/>
    <w:rsid w:val="00294641"/>
    <w:rsid w:val="00300E0E"/>
    <w:rsid w:val="003735D5"/>
    <w:rsid w:val="003D7874"/>
    <w:rsid w:val="00411C1D"/>
    <w:rsid w:val="00433093"/>
    <w:rsid w:val="00463096"/>
    <w:rsid w:val="005612F2"/>
    <w:rsid w:val="00566C6E"/>
    <w:rsid w:val="008450DE"/>
    <w:rsid w:val="009630DE"/>
    <w:rsid w:val="00AD443F"/>
    <w:rsid w:val="00AF4609"/>
    <w:rsid w:val="00B30C87"/>
    <w:rsid w:val="00B64878"/>
    <w:rsid w:val="00D046E5"/>
    <w:rsid w:val="00DB582A"/>
    <w:rsid w:val="00F10A6C"/>
    <w:rsid w:val="00F513F1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9B214"/>
  <w15:chartTrackingRefBased/>
  <w15:docId w15:val="{2DA691E0-A05C-654F-8CD8-800B9C5B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3F"/>
    <w:rPr>
      <w:rFonts w:ascii="Avenir" w:eastAsiaTheme="minorEastAsia" w:hAnsi="Avenir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43F"/>
  </w:style>
  <w:style w:type="paragraph" w:styleId="Piedepgina">
    <w:name w:val="footer"/>
    <w:basedOn w:val="Normal"/>
    <w:link w:val="PiedepginaCar"/>
    <w:uiPriority w:val="99"/>
    <w:unhideWhenUsed/>
    <w:rsid w:val="00AD44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43F"/>
  </w:style>
  <w:style w:type="table" w:styleId="Tablaconcuadrcula">
    <w:name w:val="Table Grid"/>
    <w:basedOn w:val="Tablanormal"/>
    <w:uiPriority w:val="39"/>
    <w:rsid w:val="00AD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D443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D443F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D443F"/>
    <w:pPr>
      <w:ind w:left="720"/>
      <w:contextualSpacing/>
    </w:pPr>
    <w:rPr>
      <w:rFonts w:asciiTheme="minorHAnsi" w:eastAsiaTheme="minorHAnsi" w:hAnsiTheme="minorHAnsi"/>
      <w:lang w:val="es-419"/>
    </w:rPr>
  </w:style>
  <w:style w:type="paragraph" w:customStyle="1" w:styleId="Default">
    <w:name w:val="Default"/>
    <w:rsid w:val="00566C6E"/>
    <w:pPr>
      <w:autoSpaceDE w:val="0"/>
      <w:autoSpaceDN w:val="0"/>
      <w:adjustRightInd w:val="0"/>
    </w:pPr>
    <w:rPr>
      <w:rFonts w:ascii="Zero Threes" w:hAnsi="Zero Threes" w:cs="Zero Threes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 Arumir, Rosario</dc:creator>
  <cp:keywords/>
  <dc:description/>
  <cp:lastModifiedBy>Barrera Arumir, Rosario</cp:lastModifiedBy>
  <cp:revision>9</cp:revision>
  <dcterms:created xsi:type="dcterms:W3CDTF">2019-11-20T21:46:00Z</dcterms:created>
  <dcterms:modified xsi:type="dcterms:W3CDTF">2019-11-21T18:31:00Z</dcterms:modified>
</cp:coreProperties>
</file>